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2E" w:rsidRDefault="00F067DF" w:rsidP="007B062E">
      <w:pPr>
        <w:pStyle w:val="Titre"/>
      </w:pPr>
      <w:r>
        <w:rPr>
          <w:noProof/>
          <w:color w:val="000000" w:themeColor="text1"/>
          <w14:cntxtAlts w14:val="0"/>
        </w:rPr>
        <w:drawing>
          <wp:anchor distT="0" distB="0" distL="114300" distR="114300" simplePos="0" relativeHeight="251658240" behindDoc="1" locked="0" layoutInCell="1" allowOverlap="1" wp14:anchorId="0AB48259" wp14:editId="49F9435C">
            <wp:simplePos x="0" y="0"/>
            <wp:positionH relativeFrom="column">
              <wp:posOffset>-76200</wp:posOffset>
            </wp:positionH>
            <wp:positionV relativeFrom="paragraph">
              <wp:posOffset>123825</wp:posOffset>
            </wp:positionV>
            <wp:extent cx="1691005" cy="923925"/>
            <wp:effectExtent l="0" t="0" r="4445" b="9525"/>
            <wp:wrapTight wrapText="bothSides">
              <wp:wrapPolygon edited="0">
                <wp:start x="0" y="0"/>
                <wp:lineTo x="0" y="21377"/>
                <wp:lineTo x="21413" y="21377"/>
                <wp:lineTo x="2141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ycée.gif"/>
                    <pic:cNvPicPr/>
                  </pic:nvPicPr>
                  <pic:blipFill>
                    <a:blip r:embed="rId6">
                      <a:extLst>
                        <a:ext uri="{28A0092B-C50C-407E-A947-70E740481C1C}">
                          <a14:useLocalDpi xmlns:a14="http://schemas.microsoft.com/office/drawing/2010/main" val="0"/>
                        </a:ext>
                      </a:extLst>
                    </a:blip>
                    <a:stretch>
                      <a:fillRect/>
                    </a:stretch>
                  </pic:blipFill>
                  <pic:spPr>
                    <a:xfrm>
                      <a:off x="0" y="0"/>
                      <a:ext cx="1691005" cy="923925"/>
                    </a:xfrm>
                    <a:prstGeom prst="rect">
                      <a:avLst/>
                    </a:prstGeom>
                  </pic:spPr>
                </pic:pic>
              </a:graphicData>
            </a:graphic>
            <wp14:sizeRelH relativeFrom="page">
              <wp14:pctWidth>0</wp14:pctWidth>
            </wp14:sizeRelH>
            <wp14:sizeRelV relativeFrom="page">
              <wp14:pctHeight>0</wp14:pctHeight>
            </wp14:sizeRelV>
          </wp:anchor>
        </w:drawing>
      </w:r>
      <w:r w:rsidR="007B062E">
        <w:t>BACCALAUREAT PROFESSIONNEL</w:t>
      </w:r>
    </w:p>
    <w:p w:rsidR="007B062E" w:rsidRDefault="00021F1F" w:rsidP="007B062E">
      <w:pPr>
        <w:pStyle w:val="Titre"/>
      </w:pPr>
      <w:r>
        <w:t xml:space="preserve">TECHNICIEN MENUISIER </w:t>
      </w:r>
      <w:r>
        <w:tab/>
      </w:r>
      <w:r>
        <w:tab/>
      </w:r>
      <w:r>
        <w:tab/>
      </w:r>
      <w:r>
        <w:tab/>
        <w:t xml:space="preserve">     AGENCEUR </w:t>
      </w:r>
      <w:r w:rsidR="007B062E">
        <w:t>en 3 ans</w:t>
      </w:r>
    </w:p>
    <w:p w:rsidR="007B062E" w:rsidRPr="00E41E21" w:rsidRDefault="00021F1F" w:rsidP="007B062E">
      <w:pPr>
        <w:widowControl w:val="0"/>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Le titulaire du baccalauréat professionnel est un technicien de la menuiserie et de l’agencement qui intervient en atelier et sur un chantier pour fabriquer et mettre en œuvre différents ouvrages de menuiserie extérieure et intérieure ainsi que des aménagements de pièces : bureau, cuisine, salle de bain, magasin, salle d’exposition, lieu de réunion, etc.</w:t>
      </w:r>
    </w:p>
    <w:p w:rsidR="007B062E" w:rsidRPr="00E41E21" w:rsidRDefault="007B062E" w:rsidP="007B062E">
      <w:pPr>
        <w:widowControl w:val="0"/>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 </w:t>
      </w:r>
    </w:p>
    <w:p w:rsidR="00021F1F" w:rsidRPr="00E41E21" w:rsidRDefault="00021F1F" w:rsidP="007B062E">
      <w:pPr>
        <w:widowControl w:val="0"/>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Le technicien menuisier agenceur doit au sein d’une entreprise :</w:t>
      </w:r>
    </w:p>
    <w:p w:rsidR="00021F1F" w:rsidRPr="00E41E21" w:rsidRDefault="00021F1F" w:rsidP="00CC0351">
      <w:pPr>
        <w:pStyle w:val="Paragraphedeliste"/>
        <w:widowControl w:val="0"/>
        <w:numPr>
          <w:ilvl w:val="0"/>
          <w:numId w:val="7"/>
        </w:numPr>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Préparer la réalisation d’ouvrages.</w:t>
      </w:r>
    </w:p>
    <w:p w:rsidR="00021F1F" w:rsidRPr="00E41E21" w:rsidRDefault="00021F1F" w:rsidP="00CC0351">
      <w:pPr>
        <w:pStyle w:val="Paragraphedeliste"/>
        <w:widowControl w:val="0"/>
        <w:numPr>
          <w:ilvl w:val="0"/>
          <w:numId w:val="7"/>
        </w:numPr>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Réaliser les ouvrages selon les techniques et procédés courants de fabrication de menuiserie et d’agencement.</w:t>
      </w:r>
    </w:p>
    <w:p w:rsidR="00021F1F" w:rsidRPr="00E41E21" w:rsidRDefault="00021F1F" w:rsidP="00CC0351">
      <w:pPr>
        <w:pStyle w:val="Paragraphedeliste"/>
        <w:widowControl w:val="0"/>
        <w:numPr>
          <w:ilvl w:val="0"/>
          <w:numId w:val="7"/>
        </w:numPr>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Organiser, animer et gérer le suivi de la réalisation d’un chantier au sein d’une équipe de plusieurs ouvriers professionnels.</w:t>
      </w:r>
    </w:p>
    <w:p w:rsidR="00021F1F" w:rsidRPr="00E41E21" w:rsidRDefault="00021F1F" w:rsidP="00021F1F">
      <w:pPr>
        <w:pStyle w:val="Paragraphedeliste"/>
        <w:widowControl w:val="0"/>
        <w:spacing w:after="0" w:line="264" w:lineRule="auto"/>
        <w:ind w:left="0"/>
        <w:rPr>
          <w:rFonts w:ascii="Goudy Old Style" w:hAnsi="Goudy Old Style" w:cstheme="minorHAnsi"/>
          <w:b/>
          <w:bCs/>
          <w:sz w:val="24"/>
          <w:szCs w:val="24"/>
          <w14:ligatures w14:val="none"/>
        </w:rPr>
      </w:pPr>
    </w:p>
    <w:p w:rsidR="00021F1F" w:rsidRPr="00E41E21" w:rsidRDefault="00021F1F" w:rsidP="00021F1F">
      <w:pPr>
        <w:pStyle w:val="Paragraphedeliste"/>
        <w:widowControl w:val="0"/>
        <w:spacing w:after="0" w:line="264" w:lineRule="auto"/>
        <w:ind w:left="0"/>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Les compétences développées durant la formation garantissent une adaptation et une intégration facile dans le monde du travail.</w:t>
      </w:r>
    </w:p>
    <w:p w:rsidR="00021F1F" w:rsidRPr="00E41E21" w:rsidRDefault="00021F1F" w:rsidP="00021F1F">
      <w:pPr>
        <w:pStyle w:val="Paragraphedeliste"/>
        <w:widowControl w:val="0"/>
        <w:spacing w:after="0" w:line="264" w:lineRule="auto"/>
        <w:ind w:left="0"/>
        <w:rPr>
          <w:rFonts w:ascii="Goudy Old Style" w:hAnsi="Goudy Old Style" w:cstheme="minorHAnsi"/>
          <w:b/>
          <w:bCs/>
          <w:sz w:val="24"/>
          <w:szCs w:val="24"/>
          <w14:ligatures w14:val="none"/>
        </w:rPr>
      </w:pPr>
    </w:p>
    <w:p w:rsidR="007B062E" w:rsidRPr="00E41E21" w:rsidRDefault="00021F1F" w:rsidP="007B062E">
      <w:pPr>
        <w:widowControl w:val="0"/>
        <w:spacing w:after="0" w:line="264" w:lineRule="auto"/>
        <w:jc w:val="center"/>
        <w:rPr>
          <w:rFonts w:ascii="Goudy Old Style" w:hAnsi="Goudy Old Style" w:cstheme="minorHAnsi"/>
          <w:b/>
          <w:bCs/>
          <w:sz w:val="24"/>
          <w:szCs w:val="24"/>
          <w:u w:val="single"/>
          <w14:ligatures w14:val="none"/>
        </w:rPr>
      </w:pPr>
      <w:r w:rsidRPr="00E41E21">
        <w:rPr>
          <w:rFonts w:ascii="Goudy Old Style" w:hAnsi="Goudy Old Style" w:cstheme="minorHAnsi"/>
          <w:b/>
          <w:bCs/>
          <w:sz w:val="24"/>
          <w:szCs w:val="24"/>
          <w:u w:val="single"/>
          <w14:ligatures w14:val="none"/>
        </w:rPr>
        <w:t>DUREE DE LA FORMATION</w:t>
      </w:r>
    </w:p>
    <w:p w:rsidR="007B062E" w:rsidRPr="00E41E21" w:rsidRDefault="007B062E" w:rsidP="007B062E">
      <w:pPr>
        <w:widowControl w:val="0"/>
        <w:spacing w:after="0" w:line="264" w:lineRule="auto"/>
        <w:jc w:val="center"/>
        <w:rPr>
          <w:rFonts w:ascii="Goudy Old Style" w:hAnsi="Goudy Old Style" w:cstheme="minorHAnsi"/>
          <w:b/>
          <w:bCs/>
          <w:sz w:val="24"/>
          <w:szCs w:val="24"/>
          <w:u w:val="single"/>
          <w14:ligatures w14:val="none"/>
        </w:rPr>
      </w:pPr>
      <w:r w:rsidRPr="00E41E21">
        <w:rPr>
          <w:rFonts w:ascii="Goudy Old Style" w:hAnsi="Goudy Old Style" w:cstheme="minorHAnsi"/>
          <w:b/>
          <w:bCs/>
          <w:sz w:val="24"/>
          <w:szCs w:val="24"/>
          <w:u w:val="single"/>
          <w14:ligatures w14:val="none"/>
        </w:rPr>
        <w:t> </w:t>
      </w:r>
    </w:p>
    <w:p w:rsidR="007B062E" w:rsidRPr="00E41E21" w:rsidRDefault="00021F1F" w:rsidP="00021F1F">
      <w:pPr>
        <w:widowControl w:val="0"/>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3 ans, soit environ :</w:t>
      </w:r>
    </w:p>
    <w:p w:rsidR="00021F1F" w:rsidRPr="00E41E21" w:rsidRDefault="00021F1F" w:rsidP="00021F1F">
      <w:pPr>
        <w:widowControl w:val="0"/>
        <w:spacing w:after="0" w:line="264" w:lineRule="auto"/>
        <w:rPr>
          <w:rFonts w:ascii="Goudy Old Style" w:hAnsi="Goudy Old Style" w:cstheme="minorHAnsi"/>
          <w:b/>
          <w:bCs/>
          <w:sz w:val="24"/>
          <w:szCs w:val="24"/>
          <w14:ligatures w14:val="none"/>
        </w:rPr>
      </w:pPr>
    </w:p>
    <w:p w:rsidR="00021F1F" w:rsidRPr="00E41E21" w:rsidRDefault="00021F1F" w:rsidP="00CC0351">
      <w:pPr>
        <w:pStyle w:val="Paragraphedeliste"/>
        <w:widowControl w:val="0"/>
        <w:numPr>
          <w:ilvl w:val="0"/>
          <w:numId w:val="8"/>
        </w:numPr>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84 semaines de cours en lycée.</w:t>
      </w:r>
    </w:p>
    <w:p w:rsidR="00021F1F" w:rsidRPr="00E41E21" w:rsidRDefault="00021F1F" w:rsidP="00CC0351">
      <w:pPr>
        <w:pStyle w:val="Paragraphedeliste"/>
        <w:widowControl w:val="0"/>
        <w:numPr>
          <w:ilvl w:val="0"/>
          <w:numId w:val="8"/>
        </w:numPr>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22 semaines de formation en entreprise.</w:t>
      </w:r>
    </w:p>
    <w:p w:rsidR="00021F1F" w:rsidRPr="00E41E21" w:rsidRDefault="00021F1F" w:rsidP="00CC0351">
      <w:pPr>
        <w:pStyle w:val="Paragraphedeliste"/>
        <w:widowControl w:val="0"/>
        <w:numPr>
          <w:ilvl w:val="0"/>
          <w:numId w:val="8"/>
        </w:numPr>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2 semaines d’examen.</w:t>
      </w:r>
    </w:p>
    <w:p w:rsidR="007B062E" w:rsidRPr="00E41E21" w:rsidRDefault="007B062E" w:rsidP="00CC0351">
      <w:pPr>
        <w:widowControl w:val="0"/>
        <w:spacing w:after="0" w:line="264" w:lineRule="auto"/>
        <w:ind w:firstLine="60"/>
        <w:rPr>
          <w:rFonts w:ascii="Goudy Old Style" w:hAnsi="Goudy Old Style" w:cstheme="minorHAnsi"/>
          <w:b/>
          <w:bCs/>
          <w:sz w:val="24"/>
          <w:szCs w:val="24"/>
          <w14:ligatures w14:val="none"/>
        </w:rPr>
      </w:pPr>
    </w:p>
    <w:p w:rsidR="007B062E" w:rsidRPr="00E41E21" w:rsidRDefault="007B062E" w:rsidP="007B062E">
      <w:pPr>
        <w:widowControl w:val="0"/>
        <w:spacing w:after="0" w:line="264" w:lineRule="auto"/>
        <w:jc w:val="center"/>
        <w:rPr>
          <w:rFonts w:ascii="Goudy Old Style" w:hAnsi="Goudy Old Style" w:cstheme="minorHAnsi"/>
          <w:b/>
          <w:bCs/>
          <w:sz w:val="24"/>
          <w:szCs w:val="24"/>
          <w:u w:val="single"/>
          <w14:ligatures w14:val="none"/>
        </w:rPr>
      </w:pPr>
      <w:r w:rsidRPr="00E41E21">
        <w:rPr>
          <w:rFonts w:ascii="Goudy Old Style" w:hAnsi="Goudy Old Style" w:cstheme="minorHAnsi"/>
          <w:b/>
          <w:bCs/>
          <w:sz w:val="24"/>
          <w:szCs w:val="24"/>
          <w:u w:val="single"/>
          <w14:ligatures w14:val="none"/>
        </w:rPr>
        <w:t>RECRUTEMENT</w:t>
      </w:r>
    </w:p>
    <w:p w:rsidR="007B062E" w:rsidRDefault="007B062E" w:rsidP="007B062E">
      <w:pPr>
        <w:widowControl w:val="0"/>
        <w:spacing w:after="0" w:line="264" w:lineRule="auto"/>
        <w:jc w:val="center"/>
        <w:rPr>
          <w:rFonts w:ascii="Goudy Old Style" w:hAnsi="Goudy Old Style" w:cstheme="minorHAnsi"/>
          <w:b/>
          <w:bCs/>
          <w:sz w:val="24"/>
          <w:szCs w:val="24"/>
          <w:u w:val="single"/>
          <w14:ligatures w14:val="none"/>
        </w:rPr>
      </w:pPr>
      <w:r w:rsidRPr="00E41E21">
        <w:rPr>
          <w:rFonts w:ascii="Goudy Old Style" w:hAnsi="Goudy Old Style" w:cstheme="minorHAnsi"/>
          <w:b/>
          <w:bCs/>
          <w:sz w:val="24"/>
          <w:szCs w:val="24"/>
          <w:u w:val="single"/>
          <w14:ligatures w14:val="none"/>
        </w:rPr>
        <w:t> </w:t>
      </w:r>
    </w:p>
    <w:p w:rsidR="00E41E21" w:rsidRPr="00E41E21" w:rsidRDefault="00E41E21" w:rsidP="007B062E">
      <w:pPr>
        <w:widowControl w:val="0"/>
        <w:spacing w:after="0" w:line="264" w:lineRule="auto"/>
        <w:jc w:val="center"/>
        <w:rPr>
          <w:rFonts w:ascii="Goudy Old Style" w:hAnsi="Goudy Old Style" w:cstheme="minorHAnsi"/>
          <w:b/>
          <w:bCs/>
          <w:sz w:val="24"/>
          <w:szCs w:val="24"/>
          <w:u w:val="single"/>
          <w14:ligatures w14:val="none"/>
        </w:rPr>
      </w:pPr>
    </w:p>
    <w:p w:rsidR="007B062E" w:rsidRPr="00E41E21" w:rsidRDefault="00021F1F" w:rsidP="007B062E">
      <w:pPr>
        <w:widowControl w:val="0"/>
        <w:spacing w:after="0" w:line="264" w:lineRule="auto"/>
        <w:jc w:val="center"/>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24 places disponibles pour des élèves provenant de 3</w:t>
      </w:r>
      <w:r w:rsidRPr="00E41E21">
        <w:rPr>
          <w:rFonts w:ascii="Goudy Old Style" w:hAnsi="Goudy Old Style" w:cstheme="minorHAnsi"/>
          <w:b/>
          <w:bCs/>
          <w:sz w:val="24"/>
          <w:szCs w:val="24"/>
          <w:vertAlign w:val="superscript"/>
          <w14:ligatures w14:val="none"/>
        </w:rPr>
        <w:t>ème</w:t>
      </w:r>
      <w:r w:rsidRPr="00E41E21">
        <w:rPr>
          <w:rFonts w:ascii="Goudy Old Style" w:hAnsi="Goudy Old Style" w:cstheme="minorHAnsi"/>
          <w:b/>
          <w:bCs/>
          <w:sz w:val="24"/>
          <w:szCs w:val="24"/>
          <w14:ligatures w14:val="none"/>
        </w:rPr>
        <w:t xml:space="preserve"> Prépa-pro, de 3</w:t>
      </w:r>
      <w:r w:rsidRPr="00E41E21">
        <w:rPr>
          <w:rFonts w:ascii="Goudy Old Style" w:hAnsi="Goudy Old Style" w:cstheme="minorHAnsi"/>
          <w:b/>
          <w:bCs/>
          <w:sz w:val="24"/>
          <w:szCs w:val="24"/>
          <w:vertAlign w:val="superscript"/>
          <w14:ligatures w14:val="none"/>
        </w:rPr>
        <w:t>ème</w:t>
      </w:r>
      <w:r w:rsidRPr="00E41E21">
        <w:rPr>
          <w:rFonts w:ascii="Goudy Old Style" w:hAnsi="Goudy Old Style" w:cstheme="minorHAnsi"/>
          <w:b/>
          <w:bCs/>
          <w:sz w:val="24"/>
          <w:szCs w:val="24"/>
          <w14:ligatures w14:val="none"/>
        </w:rPr>
        <w:t xml:space="preserve"> Générale, de CAP ou de seconde générale</w:t>
      </w:r>
      <w:r w:rsidR="00E41E21" w:rsidRPr="00E41E21">
        <w:rPr>
          <w:rFonts w:ascii="Goudy Old Style" w:hAnsi="Goudy Old Style" w:cstheme="minorHAnsi"/>
          <w:b/>
          <w:bCs/>
          <w:sz w:val="24"/>
          <w:szCs w:val="24"/>
          <w14:ligatures w14:val="none"/>
        </w:rPr>
        <w:t xml:space="preserve"> ou professionnelle.</w:t>
      </w:r>
    </w:p>
    <w:p w:rsidR="007B062E" w:rsidRDefault="007B062E" w:rsidP="007B062E">
      <w:pPr>
        <w:widowControl w:val="0"/>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 </w:t>
      </w:r>
    </w:p>
    <w:p w:rsidR="00E41E21" w:rsidRDefault="00E41E21" w:rsidP="007B062E">
      <w:pPr>
        <w:widowControl w:val="0"/>
        <w:spacing w:after="0" w:line="264" w:lineRule="auto"/>
        <w:rPr>
          <w:rFonts w:ascii="Goudy Old Style" w:hAnsi="Goudy Old Style" w:cstheme="minorHAnsi"/>
          <w:b/>
          <w:bCs/>
          <w:sz w:val="24"/>
          <w:szCs w:val="24"/>
          <w14:ligatures w14:val="none"/>
        </w:rPr>
      </w:pPr>
      <w:bookmarkStart w:id="0" w:name="_GoBack"/>
      <w:bookmarkEnd w:id="0"/>
    </w:p>
    <w:p w:rsidR="007B062E" w:rsidRPr="00E41E21" w:rsidRDefault="007B062E" w:rsidP="007B062E">
      <w:pPr>
        <w:widowControl w:val="0"/>
        <w:spacing w:after="0" w:line="264" w:lineRule="auto"/>
        <w:jc w:val="center"/>
        <w:rPr>
          <w:rFonts w:ascii="Goudy Old Style" w:hAnsi="Goudy Old Style" w:cstheme="minorHAnsi"/>
          <w:b/>
          <w:bCs/>
          <w:sz w:val="24"/>
          <w:szCs w:val="24"/>
          <w:u w:val="single"/>
          <w14:ligatures w14:val="none"/>
        </w:rPr>
      </w:pPr>
      <w:r w:rsidRPr="00E41E21">
        <w:rPr>
          <w:rFonts w:ascii="Goudy Old Style" w:hAnsi="Goudy Old Style" w:cstheme="minorHAnsi"/>
          <w:b/>
          <w:bCs/>
          <w:sz w:val="24"/>
          <w:szCs w:val="24"/>
          <w:u w:val="single"/>
          <w14:ligatures w14:val="none"/>
        </w:rPr>
        <w:t>POURSUITES D’ETUDES</w:t>
      </w:r>
    </w:p>
    <w:p w:rsidR="007B062E" w:rsidRDefault="007B062E" w:rsidP="007B062E">
      <w:pPr>
        <w:widowControl w:val="0"/>
        <w:spacing w:after="0" w:line="264" w:lineRule="auto"/>
        <w:jc w:val="center"/>
        <w:rPr>
          <w:rFonts w:ascii="Goudy Old Style" w:hAnsi="Goudy Old Style" w:cstheme="minorHAnsi"/>
          <w:b/>
          <w:bCs/>
          <w:sz w:val="24"/>
          <w:szCs w:val="24"/>
          <w:u w:val="single"/>
          <w14:ligatures w14:val="none"/>
        </w:rPr>
      </w:pPr>
      <w:r w:rsidRPr="00E41E21">
        <w:rPr>
          <w:rFonts w:ascii="Goudy Old Style" w:hAnsi="Goudy Old Style" w:cstheme="minorHAnsi"/>
          <w:b/>
          <w:bCs/>
          <w:sz w:val="24"/>
          <w:szCs w:val="24"/>
          <w:u w:val="single"/>
          <w14:ligatures w14:val="none"/>
        </w:rPr>
        <w:t> </w:t>
      </w:r>
    </w:p>
    <w:p w:rsidR="00E41E21" w:rsidRPr="00E41E21" w:rsidRDefault="00E41E21" w:rsidP="007B062E">
      <w:pPr>
        <w:widowControl w:val="0"/>
        <w:spacing w:after="0" w:line="264" w:lineRule="auto"/>
        <w:jc w:val="center"/>
        <w:rPr>
          <w:rFonts w:ascii="Goudy Old Style" w:hAnsi="Goudy Old Style" w:cstheme="minorHAnsi"/>
          <w:b/>
          <w:bCs/>
          <w:sz w:val="24"/>
          <w:szCs w:val="24"/>
          <w:u w:val="single"/>
          <w14:ligatures w14:val="none"/>
        </w:rPr>
      </w:pPr>
    </w:p>
    <w:p w:rsidR="007B062E" w:rsidRPr="00E41E21" w:rsidRDefault="00E41E21" w:rsidP="00E41E21">
      <w:pPr>
        <w:pStyle w:val="Paragraphedeliste"/>
        <w:widowControl w:val="0"/>
        <w:numPr>
          <w:ilvl w:val="0"/>
          <w:numId w:val="6"/>
        </w:numPr>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sz w:val="24"/>
          <w:szCs w:val="24"/>
        </w:rPr>
        <w:t>BTS Développement et Réalisation Bois (DRB).</w:t>
      </w:r>
    </w:p>
    <w:p w:rsidR="007B062E" w:rsidRPr="00E41E21" w:rsidRDefault="00E41E21" w:rsidP="00E41E21">
      <w:pPr>
        <w:pStyle w:val="Paragraphedeliste"/>
        <w:widowControl w:val="0"/>
        <w:numPr>
          <w:ilvl w:val="0"/>
          <w:numId w:val="6"/>
        </w:numPr>
        <w:spacing w:after="0" w:line="264" w:lineRule="auto"/>
        <w:rPr>
          <w:rFonts w:ascii="Goudy Old Style" w:hAnsi="Goudy Old Style" w:cstheme="minorHAnsi"/>
          <w:b/>
          <w:bCs/>
          <w:sz w:val="24"/>
          <w:szCs w:val="24"/>
          <w14:ligatures w14:val="none"/>
        </w:rPr>
      </w:pPr>
      <w:r w:rsidRPr="00E41E21">
        <w:rPr>
          <w:rFonts w:ascii="Goudy Old Style" w:hAnsi="Goudy Old Style" w:cstheme="minorHAnsi"/>
          <w:b/>
          <w:bCs/>
          <w:sz w:val="24"/>
          <w:szCs w:val="24"/>
          <w14:ligatures w14:val="none"/>
        </w:rPr>
        <w:t>BTS Agencement de l’Environnement Architectural (AEA).</w:t>
      </w:r>
    </w:p>
    <w:p w:rsidR="00F35B97" w:rsidRPr="00E41E21" w:rsidRDefault="00E41E21" w:rsidP="00E41E21">
      <w:pPr>
        <w:pStyle w:val="Paragraphedeliste"/>
        <w:widowControl w:val="0"/>
        <w:numPr>
          <w:ilvl w:val="0"/>
          <w:numId w:val="6"/>
        </w:numPr>
        <w:spacing w:after="0" w:line="264" w:lineRule="auto"/>
        <w:rPr>
          <w:rFonts w:ascii="Goudy Old Style" w:hAnsi="Goudy Old Style" w:cstheme="minorHAnsi"/>
          <w:b/>
          <w:bCs/>
          <w:sz w:val="20"/>
          <w:szCs w:val="20"/>
          <w14:ligatures w14:val="none"/>
        </w:rPr>
      </w:pPr>
      <w:r w:rsidRPr="00E41E21">
        <w:rPr>
          <w:rFonts w:ascii="Goudy Old Style" w:hAnsi="Goudy Old Style" w:cstheme="minorHAnsi"/>
          <w:b/>
          <w:sz w:val="24"/>
          <w:szCs w:val="24"/>
        </w:rPr>
        <w:t>BTS Technico-commerciale option bois, matériaux dérivés et associés (TCB).</w:t>
      </w:r>
      <w:r w:rsidR="007B062E" w:rsidRPr="00E41E21">
        <w:rPr>
          <w:rFonts w:ascii="Goudy Old Style" w:hAnsi="Goudy Old Style" w:cstheme="minorHAnsi"/>
          <w:b/>
          <w:sz w:val="20"/>
          <w:szCs w:val="20"/>
          <w14:ligatures w14:val="none"/>
        </w:rPr>
        <w:t> </w:t>
      </w:r>
      <w:r w:rsidR="00F35B97" w:rsidRPr="00E41E21">
        <w:rPr>
          <w:rFonts w:ascii="Goudy Old Style" w:hAnsi="Goudy Old Style" w:cstheme="minorHAnsi"/>
          <w:b/>
          <w:bCs/>
          <w:sz w:val="20"/>
          <w:szCs w:val="20"/>
          <w14:ligatures w14:val="none"/>
        </w:rPr>
        <w:t> </w:t>
      </w:r>
    </w:p>
    <w:sectPr w:rsidR="00F35B97" w:rsidRPr="00E41E21" w:rsidSect="00E459A9">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5A7"/>
    <w:multiLevelType w:val="hybridMultilevel"/>
    <w:tmpl w:val="E9C6E526"/>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0B1B2A72"/>
    <w:multiLevelType w:val="hybridMultilevel"/>
    <w:tmpl w:val="46464652"/>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31391436"/>
    <w:multiLevelType w:val="hybridMultilevel"/>
    <w:tmpl w:val="26A60CA8"/>
    <w:lvl w:ilvl="0" w:tplc="040C0005">
      <w:start w:val="1"/>
      <w:numFmt w:val="bullet"/>
      <w:lvlText w:val=""/>
      <w:lvlJc w:val="left"/>
      <w:pPr>
        <w:ind w:left="2340" w:hanging="360"/>
      </w:pPr>
      <w:rPr>
        <w:rFonts w:ascii="Wingdings" w:hAnsi="Wingdings"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3">
    <w:nsid w:val="40A23EEE"/>
    <w:multiLevelType w:val="hybridMultilevel"/>
    <w:tmpl w:val="C88A091C"/>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508E21C3"/>
    <w:multiLevelType w:val="hybridMultilevel"/>
    <w:tmpl w:val="F9388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8501B1"/>
    <w:multiLevelType w:val="hybridMultilevel"/>
    <w:tmpl w:val="35C67B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2257F0"/>
    <w:multiLevelType w:val="hybridMultilevel"/>
    <w:tmpl w:val="AC64E35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nsid w:val="611653AF"/>
    <w:multiLevelType w:val="hybridMultilevel"/>
    <w:tmpl w:val="33BE53E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3B"/>
    <w:rsid w:val="00021F1F"/>
    <w:rsid w:val="0031136C"/>
    <w:rsid w:val="00410D9C"/>
    <w:rsid w:val="0047579F"/>
    <w:rsid w:val="004D4067"/>
    <w:rsid w:val="005C41FA"/>
    <w:rsid w:val="006B3150"/>
    <w:rsid w:val="006B5CBF"/>
    <w:rsid w:val="007B062E"/>
    <w:rsid w:val="00921FAF"/>
    <w:rsid w:val="00B13522"/>
    <w:rsid w:val="00CC0351"/>
    <w:rsid w:val="00CD7E43"/>
    <w:rsid w:val="00D2703B"/>
    <w:rsid w:val="00E41E21"/>
    <w:rsid w:val="00E459A9"/>
    <w:rsid w:val="00EF721E"/>
    <w:rsid w:val="00F067DF"/>
    <w:rsid w:val="00F35B97"/>
    <w:rsid w:val="00F53B55"/>
    <w:rsid w:val="00F60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3B"/>
    <w:pPr>
      <w:spacing w:after="240" w:line="324" w:lineRule="auto"/>
    </w:pPr>
    <w:rPr>
      <w:rFonts w:ascii="Tw Cen MT" w:eastAsia="Times New Roman" w:hAnsi="Tw Cen MT" w:cs="Times New Roman"/>
      <w:color w:val="000000"/>
      <w:kern w:val="28"/>
      <w:sz w:val="18"/>
      <w:szCs w:val="18"/>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113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31136C"/>
    <w:rPr>
      <w:rFonts w:asciiTheme="majorHAnsi" w:eastAsiaTheme="majorEastAsia" w:hAnsiTheme="majorHAnsi" w:cstheme="majorBidi"/>
      <w:color w:val="17365D" w:themeColor="text2" w:themeShade="BF"/>
      <w:spacing w:val="5"/>
      <w:kern w:val="28"/>
      <w:sz w:val="52"/>
      <w:szCs w:val="52"/>
      <w:lang w:eastAsia="fr-FR"/>
      <w14:ligatures w14:val="standard"/>
      <w14:cntxtAlts/>
    </w:rPr>
  </w:style>
  <w:style w:type="paragraph" w:styleId="Textedebulles">
    <w:name w:val="Balloon Text"/>
    <w:basedOn w:val="Normal"/>
    <w:link w:val="TextedebullesCar"/>
    <w:uiPriority w:val="99"/>
    <w:semiHidden/>
    <w:unhideWhenUsed/>
    <w:rsid w:val="00F067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7DF"/>
    <w:rPr>
      <w:rFonts w:ascii="Tahoma" w:eastAsia="Times New Roman" w:hAnsi="Tahoma" w:cs="Tahoma"/>
      <w:color w:val="000000"/>
      <w:kern w:val="28"/>
      <w:sz w:val="16"/>
      <w:szCs w:val="16"/>
      <w:lang w:eastAsia="fr-FR"/>
      <w14:ligatures w14:val="standard"/>
      <w14:cntxtAlts/>
    </w:rPr>
  </w:style>
  <w:style w:type="paragraph" w:styleId="Paragraphedeliste">
    <w:name w:val="List Paragraph"/>
    <w:basedOn w:val="Normal"/>
    <w:uiPriority w:val="34"/>
    <w:qFormat/>
    <w:rsid w:val="004D4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3B"/>
    <w:pPr>
      <w:spacing w:after="240" w:line="324" w:lineRule="auto"/>
    </w:pPr>
    <w:rPr>
      <w:rFonts w:ascii="Tw Cen MT" w:eastAsia="Times New Roman" w:hAnsi="Tw Cen MT" w:cs="Times New Roman"/>
      <w:color w:val="000000"/>
      <w:kern w:val="28"/>
      <w:sz w:val="18"/>
      <w:szCs w:val="18"/>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113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31136C"/>
    <w:rPr>
      <w:rFonts w:asciiTheme="majorHAnsi" w:eastAsiaTheme="majorEastAsia" w:hAnsiTheme="majorHAnsi" w:cstheme="majorBidi"/>
      <w:color w:val="17365D" w:themeColor="text2" w:themeShade="BF"/>
      <w:spacing w:val="5"/>
      <w:kern w:val="28"/>
      <w:sz w:val="52"/>
      <w:szCs w:val="52"/>
      <w:lang w:eastAsia="fr-FR"/>
      <w14:ligatures w14:val="standard"/>
      <w14:cntxtAlts/>
    </w:rPr>
  </w:style>
  <w:style w:type="paragraph" w:styleId="Textedebulles">
    <w:name w:val="Balloon Text"/>
    <w:basedOn w:val="Normal"/>
    <w:link w:val="TextedebullesCar"/>
    <w:uiPriority w:val="99"/>
    <w:semiHidden/>
    <w:unhideWhenUsed/>
    <w:rsid w:val="00F067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7DF"/>
    <w:rPr>
      <w:rFonts w:ascii="Tahoma" w:eastAsia="Times New Roman" w:hAnsi="Tahoma" w:cs="Tahoma"/>
      <w:color w:val="000000"/>
      <w:kern w:val="28"/>
      <w:sz w:val="16"/>
      <w:szCs w:val="16"/>
      <w:lang w:eastAsia="fr-FR"/>
      <w14:ligatures w14:val="standard"/>
      <w14:cntxtAlts/>
    </w:rPr>
  </w:style>
  <w:style w:type="paragraph" w:styleId="Paragraphedeliste">
    <w:name w:val="List Paragraph"/>
    <w:basedOn w:val="Normal"/>
    <w:uiPriority w:val="34"/>
    <w:qFormat/>
    <w:rsid w:val="004D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24614">
      <w:bodyDiv w:val="1"/>
      <w:marLeft w:val="0"/>
      <w:marRight w:val="0"/>
      <w:marTop w:val="0"/>
      <w:marBottom w:val="0"/>
      <w:divBdr>
        <w:top w:val="none" w:sz="0" w:space="0" w:color="auto"/>
        <w:left w:val="none" w:sz="0" w:space="0" w:color="auto"/>
        <w:bottom w:val="none" w:sz="0" w:space="0" w:color="auto"/>
        <w:right w:val="none" w:sz="0" w:space="0" w:color="auto"/>
      </w:divBdr>
    </w:div>
    <w:div w:id="917061181">
      <w:bodyDiv w:val="1"/>
      <w:marLeft w:val="0"/>
      <w:marRight w:val="0"/>
      <w:marTop w:val="0"/>
      <w:marBottom w:val="0"/>
      <w:divBdr>
        <w:top w:val="none" w:sz="0" w:space="0" w:color="auto"/>
        <w:left w:val="none" w:sz="0" w:space="0" w:color="auto"/>
        <w:bottom w:val="none" w:sz="0" w:space="0" w:color="auto"/>
        <w:right w:val="none" w:sz="0" w:space="0" w:color="auto"/>
      </w:divBdr>
    </w:div>
    <w:div w:id="1004237248">
      <w:bodyDiv w:val="1"/>
      <w:marLeft w:val="0"/>
      <w:marRight w:val="0"/>
      <w:marTop w:val="0"/>
      <w:marBottom w:val="0"/>
      <w:divBdr>
        <w:top w:val="none" w:sz="0" w:space="0" w:color="auto"/>
        <w:left w:val="none" w:sz="0" w:space="0" w:color="auto"/>
        <w:bottom w:val="none" w:sz="0" w:space="0" w:color="auto"/>
        <w:right w:val="none" w:sz="0" w:space="0" w:color="auto"/>
      </w:divBdr>
    </w:div>
    <w:div w:id="1351177938">
      <w:bodyDiv w:val="1"/>
      <w:marLeft w:val="0"/>
      <w:marRight w:val="0"/>
      <w:marTop w:val="0"/>
      <w:marBottom w:val="0"/>
      <w:divBdr>
        <w:top w:val="none" w:sz="0" w:space="0" w:color="auto"/>
        <w:left w:val="none" w:sz="0" w:space="0" w:color="auto"/>
        <w:bottom w:val="none" w:sz="0" w:space="0" w:color="auto"/>
        <w:right w:val="none" w:sz="0" w:space="0" w:color="auto"/>
      </w:divBdr>
    </w:div>
    <w:div w:id="15013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Rectorat de Rennes</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opinzan</dc:creator>
  <cp:keywords/>
  <dc:description/>
  <cp:lastModifiedBy>sec2</cp:lastModifiedBy>
  <cp:revision>4</cp:revision>
  <dcterms:created xsi:type="dcterms:W3CDTF">2013-01-16T08:29:00Z</dcterms:created>
  <dcterms:modified xsi:type="dcterms:W3CDTF">2013-01-16T08:31:00Z</dcterms:modified>
</cp:coreProperties>
</file>